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36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55"/>
        <w:gridCol w:w="4613"/>
        <w:tblGridChange w:id="0">
          <w:tblGrid>
            <w:gridCol w:w="5755"/>
            <w:gridCol w:w="4613"/>
          </w:tblGrid>
        </w:tblGridChange>
      </w:tblGrid>
      <w:tr>
        <w:trPr>
          <w:cantSplit w:val="0"/>
          <w:trHeight w:val="240" w:hRule="atLeast"/>
          <w:tblHeader w:val="0"/>
        </w:trPr>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02">
            <w:pPr>
              <w:pageBreakBefore w:val="0"/>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Teacher Name: Nazerke Doskeldi</w:t>
            </w: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03">
            <w:pPr>
              <w:pageBreakBefore w:val="0"/>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Class: B2+ Cambri</w:t>
            </w:r>
            <w:r w:rsidDel="00000000" w:rsidR="00000000" w:rsidRPr="00000000">
              <w:rPr>
                <w:rFonts w:ascii="Calibri" w:cs="Calibri" w:eastAsia="Calibri" w:hAnsi="Calibri"/>
                <w:b w:val="1"/>
                <w:bCs w:val="1"/>
                <w:sz w:val="22"/>
                <w:szCs w:val="22"/>
                <w:rtl w:val="0"/>
              </w:rPr>
              <w:t xml:space="preserve">dge English</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04">
            <w:pPr>
              <w:pageBreakBefore w:val="0"/>
              <w:tabs>
                <w:tab w:val="center" w:leader="none" w:pos="2769"/>
              </w:tabs>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Lesson Date and Time: March 30, 2026 </w:t>
            </w:r>
            <w:r w:rsidDel="00000000" w:rsidR="00000000" w:rsidRPr="00000000">
              <w:rPr>
                <w:rFonts w:ascii="Calibri" w:cs="Calibri" w:eastAsia="Calibri" w:hAnsi="Calibri"/>
                <w:b w:val="1"/>
                <w:bCs w:val="1"/>
                <w:sz w:val="22"/>
                <w:szCs w:val="22"/>
                <w:rtl w:val="0"/>
              </w:rPr>
              <w:t xml:space="preserve">8:00-9:20</w:t>
            </w: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05">
            <w:pPr>
              <w:pageBreakBefore w:val="0"/>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Lesson Duration</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alibri" w:cs="Calibri" w:eastAsia="Calibri" w:hAnsi="Calibri"/>
                <w:sz w:val="22"/>
                <w:szCs w:val="22"/>
                <w:rtl w:val="0"/>
              </w:rPr>
              <w:t xml:space="preserve">8</w:t>
            </w:r>
            <w:r w:rsidDel="00000000" w:rsidR="00000000" w:rsidRPr="00000000">
              <w:rPr>
                <w:rFonts w:ascii="Calibri" w:cs="Calibri" w:eastAsia="Calibri" w:hAnsi="Calibri"/>
                <w:sz w:val="22"/>
                <w:szCs w:val="22"/>
                <w:vertAlign w:val="baseline"/>
                <w:rtl w:val="0"/>
              </w:rPr>
              <w:t xml:space="preserve">0 minutes</w:t>
            </w:r>
            <w:r w:rsidDel="00000000" w:rsidR="00000000" w:rsidRPr="00000000">
              <w:rPr>
                <w:rtl w:val="0"/>
              </w:rPr>
            </w:r>
          </w:p>
        </w:tc>
      </w:tr>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6">
            <w:pPr>
              <w:pageBreakBefore w:val="0"/>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Location: Maqsut Narikbaev University</w:t>
            </w:r>
            <w:r w:rsidDel="00000000" w:rsidR="00000000" w:rsidRPr="00000000">
              <w:rPr>
                <w:rtl w:val="0"/>
              </w:rPr>
            </w:r>
          </w:p>
        </w:tc>
      </w:tr>
      <w:tr>
        <w:trPr>
          <w:cantSplit w:val="0"/>
          <w:trHeight w:val="760" w:hRule="atLeast"/>
          <w:tblHeader w:val="0"/>
        </w:trPr>
        <w:tc>
          <w:tcPr>
            <w:gridSpan w:val="2"/>
            <w:tcBorders>
              <w:top w:color="000000" w:space="0" w:sz="4" w:val="single"/>
              <w:left w:color="000000" w:space="0" w:sz="4" w:val="single"/>
              <w:right w:color="000000" w:space="0" w:sz="4" w:val="single"/>
            </w:tcBorders>
            <w:vAlign w:val="top"/>
          </w:tcPr>
          <w:p w:rsidR="00000000" w:rsidDel="00000000" w:rsidP="00000000" w:rsidRDefault="00000000" w:rsidRPr="00000000" w14:paraId="00000008">
            <w:pPr>
              <w:pageBreakBefore w:val="0"/>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u w:val="single"/>
                <w:vertAlign w:val="baseline"/>
                <w:rtl w:val="0"/>
              </w:rPr>
              <w:t xml:space="preserve">Lesson Objectives</w:t>
            </w:r>
            <w:r w:rsidDel="00000000" w:rsidR="00000000" w:rsidRPr="00000000">
              <w:rPr>
                <w:rFonts w:ascii="Calibri" w:cs="Calibri" w:eastAsia="Calibri" w:hAnsi="Calibri"/>
                <w:sz w:val="22"/>
                <w:szCs w:val="22"/>
                <w:vertAlign w:val="baseline"/>
                <w:rtl w:val="0"/>
              </w:rPr>
              <w:t xml:space="preserve">:</w:t>
            </w:r>
          </w:p>
          <w:p w:rsidR="00000000" w:rsidDel="00000000" w:rsidP="00000000" w:rsidRDefault="00000000" w:rsidRPr="00000000" w14:paraId="00000009">
            <w:pPr>
              <w:numPr>
                <w:ilvl w:val="0"/>
                <w:numId w:val="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Students will activate prior knowledge about essay writing using a KWL framework.</w:t>
            </w:r>
          </w:p>
          <w:p w:rsidR="00000000" w:rsidDel="00000000" w:rsidP="00000000" w:rsidRDefault="00000000" w:rsidRPr="00000000" w14:paraId="0000000A">
            <w:pPr>
              <w:numPr>
                <w:ilvl w:val="0"/>
                <w:numId w:val="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Students will collaboratively write an introduction paragraph for a problem-solution essay.</w:t>
            </w:r>
          </w:p>
          <w:p w:rsidR="00000000" w:rsidDel="00000000" w:rsidP="00000000" w:rsidRDefault="00000000" w:rsidRPr="00000000" w14:paraId="0000000B">
            <w:pPr>
              <w:numPr>
                <w:ilvl w:val="0"/>
                <w:numId w:val="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Students will identify key structural elements of a problem-solution essay, including the thesis statement, body organization, transitions, and conclusion.</w:t>
            </w:r>
          </w:p>
          <w:p w:rsidR="00000000" w:rsidDel="00000000" w:rsidP="00000000" w:rsidRDefault="00000000" w:rsidRPr="00000000" w14:paraId="0000000C">
            <w:pPr>
              <w:numPr>
                <w:ilvl w:val="0"/>
                <w:numId w:val="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Students will evaluate writing through structured peer feedback.</w:t>
            </w:r>
          </w:p>
          <w:p w:rsidR="00000000" w:rsidDel="00000000" w:rsidP="00000000" w:rsidRDefault="00000000" w:rsidRPr="00000000" w14:paraId="0000000D">
            <w:pPr>
              <w:pageBreakBefore w:val="0"/>
              <w:numPr>
                <w:ilvl w:val="0"/>
                <w:numId w:val="5"/>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Students will strengthen their understanding of thesis statements as organizational roadmaps for essays. </w:t>
            </w:r>
          </w:p>
          <w:p w:rsidR="00000000" w:rsidDel="00000000" w:rsidP="00000000" w:rsidRDefault="00000000" w:rsidRPr="00000000" w14:paraId="0000000E">
            <w:pPr>
              <w:pageBreakBefore w:val="0"/>
              <w:rPr>
                <w:rFonts w:ascii="Calibri" w:cs="Calibri" w:eastAsia="Calibri" w:hAnsi="Calibri"/>
                <w:sz w:val="22"/>
                <w:szCs w:val="22"/>
                <w:vertAlign w:val="baseline"/>
              </w:rPr>
            </w:pPr>
            <w:r w:rsidDel="00000000" w:rsidR="00000000" w:rsidRPr="00000000">
              <w:rPr>
                <w:rtl w:val="0"/>
              </w:rPr>
            </w:r>
          </w:p>
        </w:tc>
      </w:tr>
    </w:tbl>
    <w:p w:rsidR="00000000" w:rsidDel="00000000" w:rsidP="00000000" w:rsidRDefault="00000000" w:rsidRPr="00000000" w14:paraId="00000010">
      <w:pPr>
        <w:pageBreakBefore w:val="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11">
      <w:pPr>
        <w:pageBreakBefore w:val="0"/>
        <w:rPr>
          <w:rFonts w:ascii="Calibri" w:cs="Calibri" w:eastAsia="Calibri" w:hAnsi="Calibri"/>
          <w:sz w:val="22"/>
          <w:szCs w:val="22"/>
        </w:rPr>
      </w:pPr>
      <w:r w:rsidDel="00000000" w:rsidR="00000000" w:rsidRPr="00000000">
        <w:rPr>
          <w:rFonts w:ascii="Calibri" w:cs="Calibri" w:eastAsia="Calibri" w:hAnsi="Calibri"/>
          <w:b w:val="1"/>
          <w:bCs w:val="1"/>
          <w:sz w:val="22"/>
          <w:szCs w:val="22"/>
          <w:u w:val="single"/>
          <w:vertAlign w:val="baseline"/>
          <w:rtl w:val="0"/>
        </w:rPr>
        <w:t xml:space="preserve">PROCEDURES</w:t>
      </w:r>
      <w:r w:rsidDel="00000000" w:rsidR="00000000" w:rsidRPr="00000000">
        <w:rPr>
          <w:rFonts w:ascii="Calibri" w:cs="Calibri" w:eastAsia="Calibri" w:hAnsi="Calibri"/>
          <w:sz w:val="22"/>
          <w:szCs w:val="22"/>
          <w:vertAlign w:val="baseline"/>
          <w:rtl w:val="0"/>
        </w:rPr>
        <w:t xml:space="preserve">:</w:t>
      </w:r>
      <w:r w:rsidDel="00000000" w:rsidR="00000000" w:rsidRPr="00000000">
        <w:rPr>
          <w:rtl w:val="0"/>
        </w:rPr>
      </w:r>
    </w:p>
    <w:p w:rsidR="00000000" w:rsidDel="00000000" w:rsidP="00000000" w:rsidRDefault="00000000" w:rsidRPr="00000000" w14:paraId="00000012">
      <w:pPr>
        <w:spacing w:after="240" w:before="24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Activity 1: KWL Warm-Up</w:t>
      </w:r>
    </w:p>
    <w:p w:rsidR="00000000" w:rsidDel="00000000" w:rsidP="00000000" w:rsidRDefault="00000000" w:rsidRPr="00000000" w14:paraId="00000013">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Materials:</w:t>
        <w:br w:type="textWrapping"/>
        <w:t xml:space="preserve">• Padlet KWL chart</w:t>
        <w:br w:type="textWrapping"/>
        <w:t xml:space="preserve">• QR code</w:t>
        <w:br w:type="textWrapping"/>
        <w:t xml:space="preserve">• </w:t>
      </w:r>
      <w:hyperlink r:id="rId6">
        <w:r w:rsidDel="00000000" w:rsidR="00000000" w:rsidRPr="00000000">
          <w:rPr>
            <w:rFonts w:ascii="Calibri" w:cs="Calibri" w:eastAsia="Calibri" w:hAnsi="Calibri"/>
            <w:color w:val="1155cc"/>
            <w:sz w:val="22"/>
            <w:szCs w:val="22"/>
            <w:u w:val="single"/>
            <w:rtl w:val="0"/>
          </w:rPr>
          <w:t xml:space="preserve">Projector/slides</w:t>
        </w:r>
      </w:hyperlink>
      <w:r w:rsidDel="00000000" w:rsidR="00000000" w:rsidRPr="00000000">
        <w:rPr>
          <w:rtl w:val="0"/>
        </w:rPr>
      </w:r>
    </w:p>
    <w:p w:rsidR="00000000" w:rsidDel="00000000" w:rsidP="00000000" w:rsidRDefault="00000000" w:rsidRPr="00000000" w14:paraId="00000014">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Time: 10 minutes</w:t>
      </w:r>
    </w:p>
    <w:p w:rsidR="00000000" w:rsidDel="00000000" w:rsidP="00000000" w:rsidRDefault="00000000" w:rsidRPr="00000000" w14:paraId="00000015">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Overview:</w:t>
        <w:br w:type="textWrapping"/>
        <w:t xml:space="preserve">Students activate prior knowledge about essay writing and identify areas they want to learn more about.</w:t>
      </w:r>
    </w:p>
    <w:p w:rsidR="00000000" w:rsidDel="00000000" w:rsidP="00000000" w:rsidRDefault="00000000" w:rsidRPr="00000000" w14:paraId="00000016">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Procedures:</w:t>
      </w:r>
    </w:p>
    <w:p w:rsidR="00000000" w:rsidDel="00000000" w:rsidP="00000000" w:rsidRDefault="00000000" w:rsidRPr="00000000" w14:paraId="00000017">
      <w:pPr>
        <w:numPr>
          <w:ilvl w:val="0"/>
          <w:numId w:val="6"/>
        </w:numPr>
        <w:spacing w:after="0" w:afterAutospacing="0" w:befor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scan a QR code and access the Padlet.</w:t>
      </w:r>
    </w:p>
    <w:p w:rsidR="00000000" w:rsidDel="00000000" w:rsidP="00000000" w:rsidRDefault="00000000" w:rsidRPr="00000000" w14:paraId="00000018">
      <w:pPr>
        <w:numPr>
          <w:ilvl w:val="0"/>
          <w:numId w:val="6"/>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respond to prompts about what they know about essay writing and what they want to learn.</w:t>
      </w:r>
    </w:p>
    <w:p w:rsidR="00000000" w:rsidDel="00000000" w:rsidP="00000000" w:rsidRDefault="00000000" w:rsidRPr="00000000" w14:paraId="00000019">
      <w:pPr>
        <w:numPr>
          <w:ilvl w:val="0"/>
          <w:numId w:val="6"/>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teacher reviews responses and highlights common themes.</w:t>
      </w:r>
    </w:p>
    <w:p w:rsidR="00000000" w:rsidDel="00000000" w:rsidP="00000000" w:rsidRDefault="00000000" w:rsidRPr="00000000" w14:paraId="0000001A">
      <w:pPr>
        <w:numPr>
          <w:ilvl w:val="0"/>
          <w:numId w:val="6"/>
        </w:numPr>
        <w:spacing w:after="24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leave the “Learned” column blank for later reflection.</w:t>
      </w:r>
    </w:p>
    <w:p w:rsidR="00000000" w:rsidDel="00000000" w:rsidP="00000000" w:rsidRDefault="00000000" w:rsidRPr="00000000" w14:paraId="0000001B">
      <w:pPr>
        <w:rPr>
          <w:rFonts w:ascii="Calibri" w:cs="Calibri" w:eastAsia="Calibri" w:hAnsi="Calibri"/>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pacing w:after="240" w:before="24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Activity 2: Group Writing Task</w:t>
      </w:r>
    </w:p>
    <w:p w:rsidR="00000000" w:rsidDel="00000000" w:rsidP="00000000" w:rsidRDefault="00000000" w:rsidRPr="00000000" w14:paraId="0000001D">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Materials:</w:t>
        <w:br w:type="textWrapping"/>
        <w:t xml:space="preserve">• Paper or shared document for group writing</w:t>
      </w:r>
    </w:p>
    <w:p w:rsidR="00000000" w:rsidDel="00000000" w:rsidP="00000000" w:rsidRDefault="00000000" w:rsidRPr="00000000" w14:paraId="0000001E">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Time: 15 minutes</w:t>
      </w:r>
    </w:p>
    <w:p w:rsidR="00000000" w:rsidDel="00000000" w:rsidP="00000000" w:rsidRDefault="00000000" w:rsidRPr="00000000" w14:paraId="0000001F">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Overview:</w:t>
        <w:br w:type="textWrapping"/>
        <w:t xml:space="preserve">Students collaboratively write an introduction paragraph for a problem-solution essay on bullying in schools.</w:t>
      </w:r>
    </w:p>
    <w:p w:rsidR="00000000" w:rsidDel="00000000" w:rsidP="00000000" w:rsidRDefault="00000000" w:rsidRPr="00000000" w14:paraId="00000020">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Procedures:</w:t>
      </w:r>
    </w:p>
    <w:p w:rsidR="00000000" w:rsidDel="00000000" w:rsidP="00000000" w:rsidRDefault="00000000" w:rsidRPr="00000000" w14:paraId="00000021">
      <w:pPr>
        <w:numPr>
          <w:ilvl w:val="0"/>
          <w:numId w:val="3"/>
        </w:numPr>
        <w:spacing w:after="0" w:afterAutospacing="0" w:befor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work in groups of four to five.</w:t>
      </w:r>
    </w:p>
    <w:p w:rsidR="00000000" w:rsidDel="00000000" w:rsidP="00000000" w:rsidRDefault="00000000" w:rsidRPr="00000000" w14:paraId="00000022">
      <w:pPr>
        <w:numPr>
          <w:ilvl w:val="0"/>
          <w:numId w:val="3"/>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Groups discuss what information should be included in an introduction.</w:t>
      </w:r>
    </w:p>
    <w:p w:rsidR="00000000" w:rsidDel="00000000" w:rsidP="00000000" w:rsidRDefault="00000000" w:rsidRPr="00000000" w14:paraId="00000023">
      <w:pPr>
        <w:numPr>
          <w:ilvl w:val="0"/>
          <w:numId w:val="3"/>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write an introduction paragraph together.</w:t>
      </w:r>
    </w:p>
    <w:p w:rsidR="00000000" w:rsidDel="00000000" w:rsidP="00000000" w:rsidRDefault="00000000" w:rsidRPr="00000000" w14:paraId="00000024">
      <w:pPr>
        <w:numPr>
          <w:ilvl w:val="0"/>
          <w:numId w:val="3"/>
        </w:numPr>
        <w:spacing w:after="24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Groups save their paragraphs for later peer review.</w:t>
      </w:r>
    </w:p>
    <w:p w:rsidR="00000000" w:rsidDel="00000000" w:rsidP="00000000" w:rsidRDefault="00000000" w:rsidRPr="00000000" w14:paraId="00000025">
      <w:pPr>
        <w:rPr>
          <w:rFonts w:ascii="Calibri" w:cs="Calibri" w:eastAsia="Calibri" w:hAnsi="Calibri"/>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spacing w:after="240" w:before="24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Activity 3: Pre-Reading Discussion</w:t>
      </w:r>
    </w:p>
    <w:p w:rsidR="00000000" w:rsidDel="00000000" w:rsidP="00000000" w:rsidRDefault="00000000" w:rsidRPr="00000000" w14:paraId="00000027">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Materials:</w:t>
        <w:br w:type="textWrapping"/>
        <w:t xml:space="preserve">• Model essay</w:t>
        <w:br w:type="textWrapping"/>
        <w:t xml:space="preserve">• Structural analysis questions</w:t>
      </w:r>
    </w:p>
    <w:p w:rsidR="00000000" w:rsidDel="00000000" w:rsidP="00000000" w:rsidRDefault="00000000" w:rsidRPr="00000000" w14:paraId="00000028">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Time: 5 minutes</w:t>
      </w:r>
    </w:p>
    <w:p w:rsidR="00000000" w:rsidDel="00000000" w:rsidP="00000000" w:rsidRDefault="00000000" w:rsidRPr="00000000" w14:paraId="00000029">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Overview:</w:t>
        <w:br w:type="textWrapping"/>
        <w:t xml:space="preserve">Students review guiding questions before reading in order to focus on essay structure.</w:t>
      </w:r>
    </w:p>
    <w:p w:rsidR="00000000" w:rsidDel="00000000" w:rsidP="00000000" w:rsidRDefault="00000000" w:rsidRPr="00000000" w14:paraId="0000002A">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Procedures:</w:t>
      </w:r>
    </w:p>
    <w:p w:rsidR="00000000" w:rsidDel="00000000" w:rsidP="00000000" w:rsidRDefault="00000000" w:rsidRPr="00000000" w14:paraId="0000002B">
      <w:pPr>
        <w:numPr>
          <w:ilvl w:val="0"/>
          <w:numId w:val="7"/>
        </w:numPr>
        <w:spacing w:after="0" w:afterAutospacing="0" w:befor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Distribute the essay and question sheet.</w:t>
      </w:r>
    </w:p>
    <w:p w:rsidR="00000000" w:rsidDel="00000000" w:rsidP="00000000" w:rsidRDefault="00000000" w:rsidRPr="00000000" w14:paraId="0000002C">
      <w:pPr>
        <w:numPr>
          <w:ilvl w:val="0"/>
          <w:numId w:val="7"/>
        </w:numPr>
        <w:spacing w:after="0" w:afterAutospacing="0" w:before="0" w:beforeAutospacing="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Teacher explains “scanning” as a reading technique</w:t>
      </w:r>
    </w:p>
    <w:p w:rsidR="00000000" w:rsidDel="00000000" w:rsidP="00000000" w:rsidRDefault="00000000" w:rsidRPr="00000000" w14:paraId="0000002D">
      <w:pPr>
        <w:numPr>
          <w:ilvl w:val="0"/>
          <w:numId w:val="7"/>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read the questions individually.</w:t>
      </w:r>
    </w:p>
    <w:p w:rsidR="00000000" w:rsidDel="00000000" w:rsidP="00000000" w:rsidRDefault="00000000" w:rsidRPr="00000000" w14:paraId="0000002E">
      <w:pPr>
        <w:numPr>
          <w:ilvl w:val="0"/>
          <w:numId w:val="7"/>
        </w:numPr>
        <w:spacing w:after="24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Teacher briefly reviews expectations and key vocabulary if necessary.</w:t>
      </w:r>
    </w:p>
    <w:p w:rsidR="00000000" w:rsidDel="00000000" w:rsidP="00000000" w:rsidRDefault="00000000" w:rsidRPr="00000000" w14:paraId="0000002F">
      <w:pPr>
        <w:rPr>
          <w:rFonts w:ascii="Calibri" w:cs="Calibri" w:eastAsia="Calibri" w:hAnsi="Calibri"/>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Activity 4: Reading and Essay Structure Analysis</w:t>
      </w:r>
    </w:p>
    <w:p w:rsidR="00000000" w:rsidDel="00000000" w:rsidP="00000000" w:rsidRDefault="00000000" w:rsidRPr="00000000" w14:paraId="00000031">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Materials:</w:t>
        <w:br w:type="textWrapping"/>
        <w:t xml:space="preserve">• Model problem-solution essay</w:t>
        <w:br w:type="textWrapping"/>
        <w:t xml:space="preserve">• Structural analysis questions</w:t>
      </w:r>
    </w:p>
    <w:p w:rsidR="00000000" w:rsidDel="00000000" w:rsidP="00000000" w:rsidRDefault="00000000" w:rsidRPr="00000000" w14:paraId="00000032">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Time: 25 minutes</w:t>
      </w:r>
    </w:p>
    <w:p w:rsidR="00000000" w:rsidDel="00000000" w:rsidP="00000000" w:rsidRDefault="00000000" w:rsidRPr="00000000" w14:paraId="00000033">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Overview:</w:t>
        <w:br w:type="textWrapping"/>
        <w:t xml:space="preserve">Students analyze the organization of a model essay and identify important structural components.</w:t>
      </w:r>
    </w:p>
    <w:p w:rsidR="00000000" w:rsidDel="00000000" w:rsidP="00000000" w:rsidRDefault="00000000" w:rsidRPr="00000000" w14:paraId="00000034">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Procedures:</w:t>
      </w:r>
    </w:p>
    <w:p w:rsidR="00000000" w:rsidDel="00000000" w:rsidP="00000000" w:rsidRDefault="00000000" w:rsidRPr="00000000" w14:paraId="00000035">
      <w:pPr>
        <w:numPr>
          <w:ilvl w:val="0"/>
          <w:numId w:val="1"/>
        </w:numPr>
        <w:spacing w:after="0" w:afterAutospacing="0" w:befor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read the essay independently.</w:t>
      </w:r>
    </w:p>
    <w:p w:rsidR="00000000" w:rsidDel="00000000" w:rsidP="00000000" w:rsidRDefault="00000000" w:rsidRPr="00000000" w14:paraId="00000036">
      <w:pPr>
        <w:numPr>
          <w:ilvl w:val="0"/>
          <w:numId w:val="1"/>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answer comprehension and structure questions while reading.</w:t>
      </w:r>
    </w:p>
    <w:p w:rsidR="00000000" w:rsidDel="00000000" w:rsidP="00000000" w:rsidRDefault="00000000" w:rsidRPr="00000000" w14:paraId="00000037">
      <w:pPr>
        <w:numPr>
          <w:ilvl w:val="0"/>
          <w:numId w:val="1"/>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compare answers with partners.</w:t>
      </w:r>
    </w:p>
    <w:p w:rsidR="00000000" w:rsidDel="00000000" w:rsidP="00000000" w:rsidRDefault="00000000" w:rsidRPr="00000000" w14:paraId="00000038">
      <w:pPr>
        <w:numPr>
          <w:ilvl w:val="0"/>
          <w:numId w:val="1"/>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Conduct whole-class feedback.</w:t>
      </w:r>
    </w:p>
    <w:p w:rsidR="00000000" w:rsidDel="00000000" w:rsidP="00000000" w:rsidRDefault="00000000" w:rsidRPr="00000000" w14:paraId="00000039">
      <w:pPr>
        <w:numPr>
          <w:ilvl w:val="0"/>
          <w:numId w:val="1"/>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Discuss the introduction, thesis statement, body paragraphs, transitions, and conclusion.</w:t>
      </w:r>
    </w:p>
    <w:p w:rsidR="00000000" w:rsidDel="00000000" w:rsidP="00000000" w:rsidRDefault="00000000" w:rsidRPr="00000000" w14:paraId="0000003A">
      <w:pPr>
        <w:numPr>
          <w:ilvl w:val="0"/>
          <w:numId w:val="1"/>
        </w:numPr>
        <w:spacing w:after="24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Focus additional attention on identifying and understanding the thesis statement as a roadmap for the essay.</w:t>
      </w:r>
    </w:p>
    <w:p w:rsidR="00000000" w:rsidDel="00000000" w:rsidP="00000000" w:rsidRDefault="00000000" w:rsidRPr="00000000" w14:paraId="0000003B">
      <w:pPr>
        <w:rPr>
          <w:rFonts w:ascii="Calibri" w:cs="Calibri" w:eastAsia="Calibri" w:hAnsi="Calibri"/>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Activity 5: Peer Feedback Session</w:t>
      </w:r>
    </w:p>
    <w:p w:rsidR="00000000" w:rsidDel="00000000" w:rsidP="00000000" w:rsidRDefault="00000000" w:rsidRPr="00000000" w14:paraId="0000003D">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Materials:</w:t>
        <w:br w:type="textWrapping"/>
        <w:t xml:space="preserve">• Student introduction paragraphs</w:t>
      </w:r>
    </w:p>
    <w:p w:rsidR="00000000" w:rsidDel="00000000" w:rsidP="00000000" w:rsidRDefault="00000000" w:rsidRPr="00000000" w14:paraId="0000003E">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Time: 20 minutes</w:t>
      </w:r>
    </w:p>
    <w:p w:rsidR="00000000" w:rsidDel="00000000" w:rsidP="00000000" w:rsidRDefault="00000000" w:rsidRPr="00000000" w14:paraId="0000003F">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Overview:</w:t>
        <w:br w:type="textWrapping"/>
        <w:t xml:space="preserve">Students exchange writing and provide structured feedback focused on content and organization.</w:t>
      </w:r>
    </w:p>
    <w:p w:rsidR="00000000" w:rsidDel="00000000" w:rsidP="00000000" w:rsidRDefault="00000000" w:rsidRPr="00000000" w14:paraId="00000040">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Procedures:</w:t>
      </w:r>
    </w:p>
    <w:p w:rsidR="00000000" w:rsidDel="00000000" w:rsidP="00000000" w:rsidRDefault="00000000" w:rsidRPr="00000000" w14:paraId="00000041">
      <w:pPr>
        <w:numPr>
          <w:ilvl w:val="0"/>
          <w:numId w:val="4"/>
        </w:numPr>
        <w:spacing w:after="0" w:afterAutospacing="0" w:befor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Groups exchange introduction paragraphs.</w:t>
      </w:r>
    </w:p>
    <w:p w:rsidR="00000000" w:rsidDel="00000000" w:rsidP="00000000" w:rsidRDefault="00000000" w:rsidRPr="00000000" w14:paraId="00000042">
      <w:pPr>
        <w:numPr>
          <w:ilvl w:val="0"/>
          <w:numId w:val="4"/>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identify strengths in the writing.</w:t>
      </w:r>
    </w:p>
    <w:p w:rsidR="00000000" w:rsidDel="00000000" w:rsidP="00000000" w:rsidRDefault="00000000" w:rsidRPr="00000000" w14:paraId="00000043">
      <w:pPr>
        <w:numPr>
          <w:ilvl w:val="0"/>
          <w:numId w:val="4"/>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suggest areas for improvement.</w:t>
      </w:r>
    </w:p>
    <w:p w:rsidR="00000000" w:rsidDel="00000000" w:rsidP="00000000" w:rsidRDefault="00000000" w:rsidRPr="00000000" w14:paraId="00000044">
      <w:pPr>
        <w:numPr>
          <w:ilvl w:val="0"/>
          <w:numId w:val="4"/>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write one question for the original writers.</w:t>
      </w:r>
    </w:p>
    <w:p w:rsidR="00000000" w:rsidDel="00000000" w:rsidP="00000000" w:rsidRDefault="00000000" w:rsidRPr="00000000" w14:paraId="00000045">
      <w:pPr>
        <w:numPr>
          <w:ilvl w:val="0"/>
          <w:numId w:val="4"/>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evaluate the effectiveness of the thesis statement.</w:t>
      </w:r>
    </w:p>
    <w:p w:rsidR="00000000" w:rsidDel="00000000" w:rsidP="00000000" w:rsidRDefault="00000000" w:rsidRPr="00000000" w14:paraId="00000046">
      <w:pPr>
        <w:numPr>
          <w:ilvl w:val="0"/>
          <w:numId w:val="4"/>
        </w:numPr>
        <w:spacing w:after="24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Groups discuss feedback with the original writers while the teacher circulates and monitors.</w:t>
      </w:r>
    </w:p>
    <w:p w:rsidR="00000000" w:rsidDel="00000000" w:rsidP="00000000" w:rsidRDefault="00000000" w:rsidRPr="00000000" w14:paraId="00000047">
      <w:pPr>
        <w:rPr>
          <w:rFonts w:ascii="Calibri" w:cs="Calibri" w:eastAsia="Calibri" w:hAnsi="Calibri"/>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Activity 6: Reflection and Closure</w:t>
      </w:r>
    </w:p>
    <w:p w:rsidR="00000000" w:rsidDel="00000000" w:rsidP="00000000" w:rsidRDefault="00000000" w:rsidRPr="00000000" w14:paraId="00000049">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Materials:</w:t>
        <w:br w:type="textWrapping"/>
        <w:t xml:space="preserve">• Padlet (optional)</w:t>
      </w:r>
    </w:p>
    <w:p w:rsidR="00000000" w:rsidDel="00000000" w:rsidP="00000000" w:rsidRDefault="00000000" w:rsidRPr="00000000" w14:paraId="0000004A">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Time: 10 minutes</w:t>
      </w:r>
    </w:p>
    <w:p w:rsidR="00000000" w:rsidDel="00000000" w:rsidP="00000000" w:rsidRDefault="00000000" w:rsidRPr="00000000" w14:paraId="0000004B">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Overview:</w:t>
        <w:br w:type="textWrapping"/>
        <w:t xml:space="preserve">Students reflect on what they learned and discuss how they can apply the lesson to future writing tasks.</w:t>
      </w:r>
    </w:p>
    <w:p w:rsidR="00000000" w:rsidDel="00000000" w:rsidP="00000000" w:rsidRDefault="00000000" w:rsidRPr="00000000" w14:paraId="0000004C">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Procedures:</w:t>
      </w:r>
    </w:p>
    <w:p w:rsidR="00000000" w:rsidDel="00000000" w:rsidP="00000000" w:rsidRDefault="00000000" w:rsidRPr="00000000" w14:paraId="0000004D">
      <w:pPr>
        <w:numPr>
          <w:ilvl w:val="0"/>
          <w:numId w:val="2"/>
        </w:numPr>
        <w:spacing w:after="0" w:afterAutospacing="0" w:befor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Review common strengths and weaknesses observed during peer feedback.</w:t>
      </w:r>
    </w:p>
    <w:p w:rsidR="00000000" w:rsidDel="00000000" w:rsidP="00000000" w:rsidRDefault="00000000" w:rsidRPr="00000000" w14:paraId="0000004E">
      <w:pPr>
        <w:numPr>
          <w:ilvl w:val="0"/>
          <w:numId w:val="2"/>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Discuss what makes an effective thesis statement.</w:t>
      </w:r>
    </w:p>
    <w:p w:rsidR="00000000" w:rsidDel="00000000" w:rsidP="00000000" w:rsidRDefault="00000000" w:rsidRPr="00000000" w14:paraId="0000004F">
      <w:pPr>
        <w:numPr>
          <w:ilvl w:val="0"/>
          <w:numId w:val="2"/>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share one takeaway from the lesson.</w:t>
      </w:r>
    </w:p>
    <w:p w:rsidR="00000000" w:rsidDel="00000000" w:rsidP="00000000" w:rsidRDefault="00000000" w:rsidRPr="00000000" w14:paraId="00000050">
      <w:pPr>
        <w:numPr>
          <w:ilvl w:val="0"/>
          <w:numId w:val="2"/>
        </w:numPr>
        <w:spacing w:after="24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complete the “Learned” section of the KWL chart.</w:t>
      </w:r>
    </w:p>
    <w:p w:rsidR="00000000" w:rsidDel="00000000" w:rsidP="00000000" w:rsidRDefault="00000000" w:rsidRPr="00000000" w14:paraId="00000051">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2">
      <w:pPr>
        <w:pageBreakBefore w:val="0"/>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3">
      <w:pPr>
        <w:pageBreakBefore w:val="0"/>
        <w:spacing w:after="240" w:lineRule="auto"/>
        <w:rPr>
          <w:rFonts w:ascii="Calibri" w:cs="Calibri" w:eastAsia="Calibri" w:hAnsi="Calibri"/>
          <w:color w:val="000000"/>
          <w:sz w:val="22"/>
          <w:szCs w:val="22"/>
          <w:u w:val="single"/>
          <w:vertAlign w:val="baseline"/>
        </w:rPr>
      </w:pPr>
      <w:r w:rsidDel="00000000" w:rsidR="00000000" w:rsidRPr="00000000">
        <w:rPr>
          <w:rFonts w:ascii="Calibri" w:cs="Calibri" w:eastAsia="Calibri" w:hAnsi="Calibri"/>
          <w:b w:val="1"/>
          <w:bCs w:val="1"/>
          <w:color w:val="000000"/>
          <w:sz w:val="22"/>
          <w:szCs w:val="22"/>
          <w:u w:val="single"/>
          <w:vertAlign w:val="baseline"/>
          <w:rtl w:val="0"/>
        </w:rPr>
        <w:t xml:space="preserve">POST-ACTIVITY REFLECTION:</w:t>
      </w:r>
      <w:r w:rsidDel="00000000" w:rsidR="00000000" w:rsidRPr="00000000">
        <w:rPr>
          <w:rtl w:val="0"/>
        </w:rPr>
      </w:r>
    </w:p>
    <w:tbl>
      <w:tblPr>
        <w:tblStyle w:val="Table2"/>
        <w:tblW w:w="1015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52"/>
        <w:tblGridChange w:id="0">
          <w:tblGrid>
            <w:gridCol w:w="10152"/>
          </w:tblGrid>
        </w:tblGridChange>
      </w:tblGrid>
      <w:tr>
        <w:trPr>
          <w:cantSplit w:val="0"/>
          <w:tblHeader w:val="0"/>
        </w:trPr>
        <w:tc>
          <w:tcPr>
            <w:vAlign w:val="top"/>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What went well in this lesson? Why?</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demonstrated clear growth in their understanding of essay structure, especially in identifying the thesis statement in the model essay. It was clear that writing was a weak point for the group (which they also expressed), but the activities did not seem to overload or overwhelm them. Additionally, the answers to their KWL at the beginning indicate that they wanted to learn more about essay structure, so the lesson was well-planned to address their needs.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What problems did I experience? Why?</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During peer feedback, I circulated the room to check on the thoughts of different groups. It seemed like many groups were struggling to provide constructive feedback that addressed the points of the class (essay structure rather than grammar). Modeling feedback would have been helpful for them to grasp the purpose from the beginning.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How engaged and active were the students?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were engaged throughout the lesson. The act of writing in a group, checking answers together, and providing feedback collaboratively helped to lower the affective filter for academic writing. Most students expressed that essay writing is intimidating for them, and I believe that the collaborative nature of the lesson helped them move forward without getting stuck.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How much learning took place? How do I know?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demonstrated significant learning on how to write thesis statements and introductions. By the end of the lesson, they were confidently able to write a thesis statement for the introduction they wrote at the beginning of the class (not a single group had included a solid thesis statement in the intro during the activity).</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What could I have done differently?</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mini-lesson on peer feedback would have been useful to keep the class flowing. Since I am fond of peer and self assessment as a teacher, I would include this periodically with any class I teach, especially for lessons on writing and speaking, in which feedback is especially important.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Was I well prepared? - What could I have done differently?</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was well prepared and had all materials ready before class. The lesson sequence flowed logically from activating prior knowledge to analysis and application. In the future, I would prepare a few additional model thesis statements for extra guided practice.</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Was I organized? Did the lesson format work? Is there a better format for me?</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The lesson was well organized and the progression from writing, to reading, to peer review worked effectively. Students were able to connect each activity to the lesson objectives. The format encouraged active learning and collaboration.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Was I clear in my presentation? How was the pacing?</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Instructions were generally clear and students were able to complete activities with minimal clarification. The pacing was appropriate, although the discussion of thesis statements took longer than anticipated because students needed additional support.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What did I learn from this experience that will help me in the future?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lesson reinforced my love for teaching writing. While I had a break from teaching, I previously led a lot of workshops and lessons on writing and storytelling. Seeing the learning during this lesson reignited my passion for helping students with their writing skills. It gave me a lot of creative energy for planning the next lesson on pre-writing strategies.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6D">
      <w:pPr>
        <w:pageBreakBefore w:val="0"/>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6E">
      <w:pPr>
        <w:pageBreakBefore w:val="0"/>
        <w:rPr>
          <w:rFonts w:ascii="Calibri" w:cs="Calibri" w:eastAsia="Calibri" w:hAnsi="Calibri"/>
          <w:sz w:val="22"/>
          <w:szCs w:val="22"/>
          <w:vertAlign w:val="baseline"/>
        </w:rPr>
      </w:pPr>
      <w:r w:rsidDel="00000000" w:rsidR="00000000" w:rsidRPr="00000000">
        <w:rPr>
          <w:rtl w:val="0"/>
        </w:rPr>
      </w:r>
    </w:p>
    <w:sectPr>
      <w:headerReference r:id="rId7" w:type="default"/>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ndara" w:cs="Candara" w:eastAsia="Candara" w:hAnsi="Candara"/>
        <w:b w:val="0"/>
        <w:bCs w:val="0"/>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4457700</wp:posOffset>
          </wp:positionH>
          <wp:positionV relativeFrom="paragraph">
            <wp:posOffset>9525</wp:posOffset>
          </wp:positionV>
          <wp:extent cx="2066925" cy="725039"/>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66925" cy="725039"/>
                  </a:xfrm>
                  <a:prstGeom prst="rect"/>
                  <a:ln/>
                </pic:spPr>
              </pic:pic>
            </a:graphicData>
          </a:graphic>
        </wp:anchor>
      </w:drawing>
    </w:r>
  </w:p>
  <w:tbl>
    <w:tblPr>
      <w:tblStyle w:val="Table3"/>
      <w:tblW w:w="10152.0" w:type="dxa"/>
      <w:jc w:val="left"/>
      <w:tblInd w:w="-108.0" w:type="dxa"/>
      <w:tblLayout w:type="fixed"/>
      <w:tblLook w:val="0000"/>
    </w:tblPr>
    <w:tblGrid>
      <w:gridCol w:w="3461"/>
      <w:gridCol w:w="3580"/>
      <w:gridCol w:w="3111"/>
      <w:tblGridChange w:id="0">
        <w:tblGrid>
          <w:gridCol w:w="3461"/>
          <w:gridCol w:w="3580"/>
          <w:gridCol w:w="3111"/>
        </w:tblGrid>
      </w:tblGridChange>
    </w:tblGrid>
    <w:tr>
      <w:trPr>
        <w:cantSplit w:val="0"/>
        <w:trHeight w:val="360" w:hRule="atLeast"/>
        <w:tblHeader w:val="0"/>
      </w:trPr>
      <w:tc>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TESOL Certificate Program</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English Language Institute</w:t>
          </w:r>
        </w:p>
      </w:tc>
      <w:tc>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Practicum Report</w:t>
          </w:r>
          <w:r w:rsidDel="00000000" w:rsidR="00000000" w:rsidRPr="00000000">
            <w:rPr>
              <w:rtl w:val="0"/>
            </w:rPr>
          </w:r>
        </w:p>
      </w:tc>
      <w:tc>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presentation/d/1ovG8Y3h_3a7sTXYxdskdOlah-4ByCjaddy3YtIx72UE/edit?slide=id.p#slide=id.p"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